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513" w:type="dxa"/>
        <w:tblInd w:w="7514" w:type="dxa"/>
        <w:tblLayout w:type="fixed"/>
        <w:tblLook w:val="04A0" w:firstRow="1" w:lastRow="0" w:firstColumn="1" w:lastColumn="0" w:noHBand="0" w:noVBand="1"/>
      </w:tblPr>
      <w:tblGrid>
        <w:gridCol w:w="7513"/>
      </w:tblGrid>
      <w:tr w:rsidR="00413078">
        <w:trPr>
          <w:trHeight w:val="215"/>
        </w:trPr>
        <w:tc>
          <w:tcPr>
            <w:tcW w:w="7513" w:type="dxa"/>
            <w:vAlign w:val="bottom"/>
          </w:tcPr>
          <w:p w:rsidR="00413078" w:rsidRDefault="000F4184">
            <w:pPr>
              <w:widowControl w:val="0"/>
              <w:spacing w:after="0" w:line="240" w:lineRule="auto"/>
              <w:ind w:right="113" w:firstLine="2835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Приложение 3</w:t>
            </w:r>
          </w:p>
        </w:tc>
      </w:tr>
      <w:tr w:rsidR="00413078">
        <w:trPr>
          <w:trHeight w:val="215"/>
        </w:trPr>
        <w:tc>
          <w:tcPr>
            <w:tcW w:w="7513" w:type="dxa"/>
            <w:vAlign w:val="bottom"/>
          </w:tcPr>
          <w:p w:rsidR="00413078" w:rsidRDefault="000F418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к решению Думы</w:t>
            </w:r>
          </w:p>
        </w:tc>
      </w:tr>
      <w:tr w:rsidR="00413078">
        <w:trPr>
          <w:trHeight w:val="215"/>
        </w:trPr>
        <w:tc>
          <w:tcPr>
            <w:tcW w:w="7513" w:type="dxa"/>
            <w:vAlign w:val="bottom"/>
          </w:tcPr>
          <w:p w:rsidR="00413078" w:rsidRDefault="000F418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Уссурийского городского округа</w:t>
            </w:r>
          </w:p>
        </w:tc>
      </w:tr>
      <w:tr w:rsidR="00413078">
        <w:trPr>
          <w:trHeight w:val="215"/>
        </w:trPr>
        <w:tc>
          <w:tcPr>
            <w:tcW w:w="7513" w:type="dxa"/>
            <w:vAlign w:val="bottom"/>
          </w:tcPr>
          <w:p w:rsidR="00413078" w:rsidRDefault="000F4184" w:rsidP="00606172">
            <w:pPr>
              <w:widowControl w:val="0"/>
              <w:spacing w:after="0" w:line="240" w:lineRule="auto"/>
              <w:contextualSpacing/>
            </w:pPr>
            <w:r>
              <w:t xml:space="preserve">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Приморского края</w:t>
            </w:r>
          </w:p>
        </w:tc>
      </w:tr>
      <w:tr w:rsidR="00413078">
        <w:trPr>
          <w:trHeight w:val="215"/>
        </w:trPr>
        <w:tc>
          <w:tcPr>
            <w:tcW w:w="7513" w:type="dxa"/>
            <w:vAlign w:val="bottom"/>
          </w:tcPr>
          <w:p w:rsidR="00413078" w:rsidRDefault="000F4184" w:rsidP="0060617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606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  <w:r w:rsidR="00606172">
              <w:rPr>
                <w:rFonts w:ascii="Times New Roman" w:hAnsi="Times New Roman"/>
                <w:color w:val="000000"/>
                <w:sz w:val="28"/>
                <w:szCs w:val="28"/>
              </w:rPr>
              <w:t>от 28 июля 2026 года № 466-НПА</w:t>
            </w:r>
          </w:p>
        </w:tc>
      </w:tr>
      <w:tr w:rsidR="00413078">
        <w:trPr>
          <w:trHeight w:hRule="exact" w:val="215"/>
        </w:trPr>
        <w:tc>
          <w:tcPr>
            <w:tcW w:w="7513" w:type="dxa"/>
            <w:vAlign w:val="bottom"/>
          </w:tcPr>
          <w:p w:rsidR="00413078" w:rsidRDefault="004130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13078">
        <w:trPr>
          <w:trHeight w:val="215"/>
        </w:trPr>
        <w:tc>
          <w:tcPr>
            <w:tcW w:w="7513" w:type="dxa"/>
            <w:vAlign w:val="bottom"/>
          </w:tcPr>
          <w:p w:rsidR="00413078" w:rsidRDefault="00606172">
            <w:pPr>
              <w:widowControl w:val="0"/>
              <w:spacing w:after="0" w:line="240" w:lineRule="auto"/>
              <w:ind w:right="113" w:firstLine="2891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0F41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Приложение 3</w:t>
            </w:r>
          </w:p>
        </w:tc>
      </w:tr>
      <w:tr w:rsidR="00413078">
        <w:trPr>
          <w:trHeight w:val="300"/>
        </w:trPr>
        <w:tc>
          <w:tcPr>
            <w:tcW w:w="7513" w:type="dxa"/>
            <w:vAlign w:val="bottom"/>
          </w:tcPr>
          <w:p w:rsidR="00413078" w:rsidRDefault="000F418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к решению Думы</w:t>
            </w:r>
          </w:p>
        </w:tc>
      </w:tr>
      <w:tr w:rsidR="00413078">
        <w:trPr>
          <w:trHeight w:val="330"/>
        </w:trPr>
        <w:tc>
          <w:tcPr>
            <w:tcW w:w="7513" w:type="dxa"/>
            <w:vAlign w:val="bottom"/>
          </w:tcPr>
          <w:p w:rsidR="00413078" w:rsidRDefault="000F418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Уссурийского городского округа</w:t>
            </w:r>
          </w:p>
        </w:tc>
      </w:tr>
      <w:tr w:rsidR="00413078">
        <w:trPr>
          <w:trHeight w:val="330"/>
        </w:trPr>
        <w:tc>
          <w:tcPr>
            <w:tcW w:w="7513" w:type="dxa"/>
            <w:vAlign w:val="bottom"/>
          </w:tcPr>
          <w:p w:rsidR="00413078" w:rsidRDefault="000F4184">
            <w:pPr>
              <w:widowControl w:val="0"/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Приморского края</w:t>
            </w:r>
          </w:p>
        </w:tc>
      </w:tr>
      <w:tr w:rsidR="00413078">
        <w:trPr>
          <w:trHeight w:val="271"/>
        </w:trPr>
        <w:tc>
          <w:tcPr>
            <w:tcW w:w="7513" w:type="dxa"/>
            <w:vAlign w:val="bottom"/>
          </w:tcPr>
          <w:p w:rsidR="00413078" w:rsidRDefault="000F418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от 16 декабря 2025 года № 337-НПА</w:t>
            </w:r>
          </w:p>
        </w:tc>
      </w:tr>
    </w:tbl>
    <w:p w:rsidR="00413078" w:rsidRDefault="0041307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13078" w:rsidRDefault="000F4184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Объемы доходов бюджета Уссурийского городского округа Приморского края на 2026 год и </w:t>
      </w:r>
    </w:p>
    <w:p w:rsidR="00413078" w:rsidRDefault="000F4184">
      <w:pPr>
        <w:widowControl w:val="0"/>
        <w:spacing w:after="0" w:line="240" w:lineRule="auto"/>
        <w:contextualSpacing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период 2027 и 2028 годов</w:t>
      </w:r>
    </w:p>
    <w:p w:rsidR="00413078" w:rsidRDefault="000F4184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рублей</w:t>
      </w:r>
    </w:p>
    <w:tbl>
      <w:tblPr>
        <w:tblW w:w="1434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694"/>
        <w:gridCol w:w="5272"/>
        <w:gridCol w:w="2126"/>
        <w:gridCol w:w="2126"/>
        <w:gridCol w:w="2128"/>
      </w:tblGrid>
      <w:tr w:rsidR="00413078" w:rsidTr="00972C0A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3078" w:rsidRDefault="000F4184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3078" w:rsidRDefault="000F4184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38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3078" w:rsidRDefault="000F4184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доходов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3078" w:rsidRDefault="00413078">
            <w:pPr>
              <w:spacing w:after="0" w:line="240" w:lineRule="auto"/>
              <w:contextualSpacing/>
            </w:pPr>
          </w:p>
        </w:tc>
        <w:tc>
          <w:tcPr>
            <w:tcW w:w="527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3078" w:rsidRDefault="00413078">
            <w:pPr>
              <w:spacing w:after="0" w:line="240" w:lineRule="auto"/>
              <w:contextualSpacing/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3078" w:rsidRDefault="000F4184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3078" w:rsidRDefault="000F4184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3078" w:rsidRDefault="000F4184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13078" w:rsidRDefault="000F4184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13078" w:rsidRDefault="000F4184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1 00 00000 00 0000 000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НАЛОГОВЫЕ И НЕНАЛОГОВЫЕ ДОХОДЫ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5 408 448 492,00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4 801 087 810,00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4 832 474 510,00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413078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НАЛОГОВЫЕ ДОХОДЫ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4 940 931 000,00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4 448 582 000,00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4 488 166 000,00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1 01 00000 00 0000 000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НАЛОГИ НА ПРИБЫЛЬ, ДОХОДЫ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4 343 640 000,00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3 819 812 000,00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3 846 960 000,00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1 01 02000 01 0000 110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 на доходы физических лиц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4 343 640 000,00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3 819 812 000,00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3 846 960 000,00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1 03 02000 01 0000 110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70 650 000,00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95 470 000,00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99 584 000,00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1 03 03000 01 0000 110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ТУРИСТИЧЕСКИЙ НАЛОГ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14 190 000,00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21 285 000,00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28 380 000,00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1 05 00000 00 0000 000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НАЛОГИ НА СОВОКУПНЫЙ ДОХОД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33 611 000,00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35 719 000,00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36 488 000,00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1 05 03000 01 0000 110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Единый сельскохозяйственный налог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10 193 000,00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10 454 000,00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10 454 000,00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1 05 04010 02 0000 110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23 418 000,00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25 265 000,00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26 034 000,00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1 06 00000 00 0000 000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НАЛОГИ НА ИМУЩЕСТВО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380 340 000,00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377 796 000,00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378 254 000,00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1 06 01020 04 0000 110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190 184 000,00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190 640 000,00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191 098 000,00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1 06 06000 00 0000 110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Земельный налог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190 156 000,00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187 156 000,00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187 156 000,00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1 08 00000 00 0000 000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ГОСУДАРСТВЕННАЯ ПОШЛИНА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98 500 000,00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98 500 000,00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98 500 000,00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1 08 03010 01 0000 110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97 800 000,00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97 800 000,00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97 800 000,00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1 08 07150 01 0000 110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700 000,00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700 000,00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413078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НЕНАЛОГОВЫЕ ДОХОДЫ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467 517 492,00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352 505 810,00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344 308 510,00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1 11 00000 00 0000 000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246 088 020,00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210 881 250,00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204 327 070,00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1 11 01040 04 0000 120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1 000 000,00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1 100 000,00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1 250 000,00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1 11 05000 00 0000 120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200 115 900,00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164 605 800,00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157 719 800,00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1 11 05012 04 0000 120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</w:t>
            </w:r>
            <w:r>
              <w:rPr>
                <w:rFonts w:ascii="Times New Roman" w:hAnsi="Times New Roman"/>
                <w:sz w:val="24"/>
              </w:rPr>
              <w:lastRenderedPageBreak/>
              <w:t>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175 280 000,00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139 850 000,00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132 900 000,00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1 11 05024 04 0000 120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учреждении)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854 400,00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852 700,00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852 700,00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1 11 05034 04 0000 120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2 072 000,00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2 134 000,00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2 198 000,00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1 11 05074 04 0000 120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21 909 500,00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21 769 100,00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21 769 100,00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1 11 07014 04 0000 120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422 600,00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439 500,00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457 100,00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1 11 09044 04 0000 120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30 000 000,00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30 000 000,00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30 000 000,00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1 11 09080 04 0000 120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</w:t>
            </w:r>
            <w:r>
              <w:rPr>
                <w:rFonts w:ascii="Times New Roman" w:hAnsi="Times New Roman"/>
                <w:sz w:val="24"/>
              </w:rPr>
              <w:lastRenderedPageBreak/>
              <w:t>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14 549 520,00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14 735 950,00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14 900 170,00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1 12 00000 00 0000 000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9 000 000,00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1 12 01000 01 0000 120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9 000 000,00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1 13 00000 00 0000 000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ОКАЗАНИЯ ПЛАТНЫХ УСЛУГ И КОМПЕНСАЦИИ ЗАТРАТ ГОСУДАРСТВА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29 796 080,00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21 740 670,00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20 238 350,00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1 13 01074 04 0000 130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180 000,00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320 000,00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1 13 01530 04 0000 130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413078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413078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413078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1 13 01994 04 0000 130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1 280 000,00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1 280 000,00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1 280 000,00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1 13 02064 04 0000 130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658 680,00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690 460,00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696 690,00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25 177 400,00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19 590 210,00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17 941 660,00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1 14 00000 00 0000 000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173 304 300,00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113 163 000,00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113 022 200,00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1 14 02040 04 0000 410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2 922 300,00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2 781 000,00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2 640 200,00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1 14 06012 04 0000 430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144 082 000,00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84 082 000,00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84 082 000,00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1 14 06312 04 0000 430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26 300 000,00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26 300 000,00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26 300 000,00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1 15 00000 00 0000 000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ПЛАТЕЖИ И СБОРЫ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1 650 000,00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1 650 000,00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1 650 000,00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1 16 00000 00 0000 000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7 598 202,00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5 060 000,00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5 060 000,00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1 17 00000 00 0000 000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НЕНАЛОГОВЫЕ ДОХОДЫ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80 890,00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10 890,00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10 890,00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1 17 05040 04 0000 180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10 890,00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10 890,00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10 890,00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1 17 15020 04 0000 150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2 00 00000 00 0000 000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БЕЗВОЗМЕЗДНЫЕ ПОСТУПЛЕНИЯ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6 933 119 373,30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8 180 024 231,38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8 458 664 617,58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2 02 00000 00 0000 000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6 907 449 373,30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8 180 024 231,38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8 458 664 617,58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2 02 10000 00 0000 150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Дотации бюджетам бюджетной системы Российской Федерации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38 040 000,00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2 02 19999 04 0000 150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дотации бюджетам городских округов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38 040 000,00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2 02 20000 00 0000 150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2 652 182 992,49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3 741 733 877,74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3 774 746 005,74</w:t>
            </w:r>
          </w:p>
        </w:tc>
      </w:tr>
      <w:tr w:rsidR="00413078" w:rsidTr="00972C0A">
        <w:trPr>
          <w:trHeight w:val="6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2 02 20077 04 0000 150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1 315 070 313,01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2 542 157 824,70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2 139 302 040,00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2 02 20299 04 0000 150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</w:t>
            </w:r>
            <w:r>
              <w:rPr>
                <w:rFonts w:ascii="Times New Roman" w:hAnsi="Times New Roman"/>
                <w:sz w:val="24"/>
              </w:rPr>
              <w:lastRenderedPageBreak/>
              <w:t>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37 872 601,32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2 02 20302 04 0000 150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29 820 408,61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413078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2 02 25049 04 0000 150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211 948 453,61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235 498 351,00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2 02 25054 04 0000 150</w:t>
            </w:r>
          </w:p>
        </w:tc>
        <w:tc>
          <w:tcPr>
            <w:tcW w:w="5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260 870 103,10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518 845 360,82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2 02 25081 04 0000 150 </w:t>
            </w:r>
          </w:p>
        </w:tc>
        <w:tc>
          <w:tcPr>
            <w:tcW w:w="5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1 484 938,27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2 02 25133 04 0000 150</w:t>
            </w:r>
          </w:p>
        </w:tc>
        <w:tc>
          <w:tcPr>
            <w:tcW w:w="5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в целях софинансирования расходных обязательств, возникающих при осуществлении капитального ремонта объектов спортивной инфраструктуры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30 248 395,06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2 02 25349 04 0000 150</w:t>
            </w:r>
          </w:p>
        </w:tc>
        <w:tc>
          <w:tcPr>
            <w:tcW w:w="5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3 917 525,77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2 02 25424 04 0000 150</w:t>
            </w:r>
          </w:p>
        </w:tc>
        <w:tc>
          <w:tcPr>
            <w:tcW w:w="5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</w:t>
            </w:r>
            <w:r>
              <w:rPr>
                <w:rFonts w:ascii="Times New Roman" w:hAnsi="Times New Roman"/>
                <w:sz w:val="24"/>
              </w:rPr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154 639 175,26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2 02 25441 04 0000 150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реализацию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228 420 000,00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1 418 126 562,50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2 02 25467 04 0000 150 </w:t>
            </w:r>
          </w:p>
        </w:tc>
        <w:tc>
          <w:tcPr>
            <w:tcW w:w="5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1 282 459,26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1 168 354,43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1 176 051,95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2 02 25497 04 0000 150 </w:t>
            </w:r>
          </w:p>
        </w:tc>
        <w:tc>
          <w:tcPr>
            <w:tcW w:w="5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30 052 060,80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13 648 232,59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13 529 140,16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2 02 25513 04 0000 150 </w:t>
            </w:r>
          </w:p>
        </w:tc>
        <w:tc>
          <w:tcPr>
            <w:tcW w:w="5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24 845 360,83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2 02 25505 04 0000 150</w:t>
            </w:r>
          </w:p>
        </w:tc>
        <w:tc>
          <w:tcPr>
            <w:tcW w:w="5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26 858 938,75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tabs>
                <w:tab w:val="left" w:pos="131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  <w:r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2 02 25519 04 0000 150</w:t>
            </w:r>
          </w:p>
        </w:tc>
        <w:tc>
          <w:tcPr>
            <w:tcW w:w="5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246 913,58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2 02 25555 04 0000 150 </w:t>
            </w:r>
          </w:p>
        </w:tc>
        <w:tc>
          <w:tcPr>
            <w:tcW w:w="5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62 544 656,43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63 831 408,73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64 447 388,71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2 02 25599 04 0000 150 </w:t>
            </w:r>
          </w:p>
        </w:tc>
        <w:tc>
          <w:tcPr>
            <w:tcW w:w="5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323 150,71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2 02 29999 04 0000 150</w:t>
            </w:r>
          </w:p>
        </w:tc>
        <w:tc>
          <w:tcPr>
            <w:tcW w:w="5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субсидии бюджетам городских округов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460 157 538,12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138 164 345,47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138 164 822,42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2 02 30000 00 0000 150</w:t>
            </w:r>
          </w:p>
        </w:tc>
        <w:tc>
          <w:tcPr>
            <w:tcW w:w="5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4 042 337 745,37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4 288 192 186,44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4 533 636 500,96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2 02 30024 04 0000 150</w:t>
            </w:r>
          </w:p>
        </w:tc>
        <w:tc>
          <w:tcPr>
            <w:tcW w:w="5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3 734 748 756,37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3 993 713 953,94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4 242 916 396,46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2 02 30029 04 0000 150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49 595 166,00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74 643 004,00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77 617 211,00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2 02 35082 04 0000 150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31 260 864,00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2 02 35120 04 0000 150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2 833 571,00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212 736,00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230 487,00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2 02 35304 04 0000 150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195 153 336,00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189 948 811,50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182 225 830,50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2 02 35930 04 0000 150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18 028 927,00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18 527 870,00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19 054 932,00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2 02 36900 04 0000 150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8 020 108,00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8 340 913,00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8 674 550,00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2 02 39999 04 0000 150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субвенции бюджетам городских округов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2 697 017,00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2 804 898,00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2 917 094,00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2 02 40000 00 0000 150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174 888 635,44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150 098 167,20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150 282 110,88</w:t>
            </w:r>
          </w:p>
        </w:tc>
      </w:tr>
      <w:tr w:rsidR="00413078" w:rsidTr="00972C0A">
        <w:trPr>
          <w:trHeight w:val="404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2 02 45050 04 0000 150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городских округов на обеспечение выплат ежемесячного денежного </w:t>
            </w:r>
            <w:r>
              <w:rPr>
                <w:rFonts w:ascii="Times New Roman" w:hAnsi="Times New Roman"/>
                <w:sz w:val="24"/>
              </w:rPr>
              <w:lastRenderedPageBreak/>
              <w:t>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3 866 940,00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3 866 940,00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3 866 940,00</w:t>
            </w:r>
          </w:p>
        </w:tc>
      </w:tr>
      <w:tr w:rsidR="00413078" w:rsidTr="00972C0A">
        <w:trPr>
          <w:trHeight w:val="585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2 02 45179 04 0000 150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12 492 706,56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14 840 227,20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15 024 170,88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2 02 45303 04 0000 150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125 775 000,00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131 391 000,00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131 391 000,00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2 02 49999 04 0000 150 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32 753 988,88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41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2 07 0000 0 00 0000 000</w:t>
            </w: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БЕЗВОЗМЕЗДНЫЕ ПОСТУПЛЕНИЯ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25 670 000,00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2 070 04050 04 0000 150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bottom w:w="55" w:type="dxa"/>
            </w:tcMar>
          </w:tcPr>
          <w:p w:rsidR="00413078" w:rsidRDefault="000F4184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безвозмездные поступления в бюджеты городских округов 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25 670 000,00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413078" w:rsidTr="00972C0A">
        <w:trPr>
          <w:trHeight w:val="2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413078">
            <w:pPr>
              <w:pStyle w:val="afe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 ДОХОДОВ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12 341 567 865,30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12 981 112 041,38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3078" w:rsidRDefault="000F4184">
            <w:pPr>
              <w:pStyle w:val="afe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13 291 139 127,58</w:t>
            </w:r>
          </w:p>
        </w:tc>
      </w:tr>
    </w:tbl>
    <w:p w:rsidR="00413078" w:rsidRDefault="00413078">
      <w:pPr>
        <w:widowControl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sectPr w:rsidR="00413078" w:rsidSect="00972C0A">
      <w:headerReference w:type="default" r:id="rId6"/>
      <w:pgSz w:w="16838" w:h="11906" w:orient="landscape"/>
      <w:pgMar w:top="284" w:right="1134" w:bottom="709" w:left="1134" w:header="708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AAF" w:rsidRDefault="00391AAF">
      <w:pPr>
        <w:spacing w:after="0" w:line="240" w:lineRule="auto"/>
      </w:pPr>
      <w:r>
        <w:separator/>
      </w:r>
    </w:p>
  </w:endnote>
  <w:endnote w:type="continuationSeparator" w:id="0">
    <w:p w:rsidR="00391AAF" w:rsidRDefault="00391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charset w:val="00"/>
    <w:family w:val="auto"/>
    <w:pitch w:val="default"/>
  </w:font>
  <w:font w:name="DejaVu San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AAF" w:rsidRDefault="00391AAF">
      <w:pPr>
        <w:spacing w:after="0" w:line="240" w:lineRule="auto"/>
      </w:pPr>
      <w:r>
        <w:separator/>
      </w:r>
    </w:p>
  </w:footnote>
  <w:footnote w:type="continuationSeparator" w:id="0">
    <w:p w:rsidR="00391AAF" w:rsidRDefault="00391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078" w:rsidRDefault="000F4184">
    <w:pPr>
      <w:pStyle w:val="afb"/>
      <w:jc w:val="center"/>
    </w:pPr>
    <w:r>
      <w:fldChar w:fldCharType="begin"/>
    </w:r>
    <w:r>
      <w:instrText>PAGE \* MERGEFORMAT</w:instrText>
    </w:r>
    <w:r>
      <w:fldChar w:fldCharType="separate"/>
    </w:r>
    <w:r w:rsidR="00972C0A">
      <w:rPr>
        <w:noProof/>
      </w:rPr>
      <w:t>1</w:t>
    </w:r>
    <w:r>
      <w:fldChar w:fldCharType="end"/>
    </w:r>
  </w:p>
  <w:p w:rsidR="00413078" w:rsidRDefault="00413078">
    <w:pPr>
      <w:pStyle w:val="af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078"/>
    <w:rsid w:val="000F4184"/>
    <w:rsid w:val="00391AAF"/>
    <w:rsid w:val="00413078"/>
    <w:rsid w:val="00606172"/>
    <w:rsid w:val="0097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28576-4065-4602-AEC5-76E3B344B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qFormat/>
    <w:pPr>
      <w:keepNext/>
      <w:keepLines/>
      <w:spacing w:before="48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qFormat/>
    <w:pPr>
      <w:keepNext/>
      <w:keepLines/>
      <w:spacing w:before="360"/>
      <w:outlineLvl w:val="1"/>
    </w:pPr>
    <w:rPr>
      <w:rFonts w:ascii="Arial" w:eastAsia="Arial" w:hAnsi="Arial"/>
      <w:sz w:val="34"/>
    </w:rPr>
  </w:style>
  <w:style w:type="paragraph" w:styleId="3">
    <w:name w:val="heading 3"/>
    <w:basedOn w:val="a"/>
    <w:qFormat/>
    <w:pPr>
      <w:keepNext/>
      <w:keepLines/>
      <w:spacing w:before="32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qFormat/>
    <w:pPr>
      <w:keepNext/>
      <w:keepLines/>
      <w:spacing w:before="32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qFormat/>
    <w:pPr>
      <w:keepNext/>
      <w:keepLines/>
      <w:spacing w:before="320"/>
      <w:outlineLvl w:val="4"/>
    </w:pPr>
    <w:rPr>
      <w:rFonts w:ascii="Arial" w:eastAsia="Arial" w:hAnsi="Arial"/>
      <w:b/>
      <w:bCs/>
      <w:sz w:val="24"/>
      <w:szCs w:val="24"/>
    </w:rPr>
  </w:style>
  <w:style w:type="paragraph" w:styleId="6">
    <w:name w:val="heading 6"/>
    <w:basedOn w:val="a"/>
    <w:qFormat/>
    <w:pPr>
      <w:keepNext/>
      <w:keepLines/>
      <w:spacing w:before="320"/>
      <w:outlineLvl w:val="5"/>
    </w:pPr>
    <w:rPr>
      <w:rFonts w:ascii="Arial" w:eastAsia="Arial" w:hAnsi="Arial"/>
      <w:b/>
      <w:bCs/>
    </w:rPr>
  </w:style>
  <w:style w:type="paragraph" w:styleId="7">
    <w:name w:val="heading 7"/>
    <w:basedOn w:val="a"/>
    <w:qFormat/>
    <w:pPr>
      <w:keepNext/>
      <w:keepLines/>
      <w:spacing w:before="320"/>
      <w:outlineLvl w:val="6"/>
    </w:pPr>
    <w:rPr>
      <w:rFonts w:ascii="Arial" w:eastAsia="Arial" w:hAnsi="Arial"/>
      <w:b/>
      <w:bCs/>
      <w:i/>
      <w:iCs/>
    </w:rPr>
  </w:style>
  <w:style w:type="paragraph" w:styleId="8">
    <w:name w:val="heading 8"/>
    <w:basedOn w:val="a"/>
    <w:qFormat/>
    <w:pPr>
      <w:keepNext/>
      <w:keepLines/>
      <w:spacing w:before="320"/>
      <w:outlineLvl w:val="7"/>
    </w:pPr>
    <w:rPr>
      <w:rFonts w:ascii="Arial" w:eastAsia="Arial" w:hAnsi="Arial"/>
      <w:i/>
      <w:iCs/>
    </w:rPr>
  </w:style>
  <w:style w:type="paragraph" w:styleId="9">
    <w:name w:val="heading 9"/>
    <w:basedOn w:val="a"/>
    <w:qFormat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0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0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0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qFormat/>
    <w:rPr>
      <w:sz w:val="48"/>
      <w:szCs w:val="48"/>
    </w:rPr>
  </w:style>
  <w:style w:type="character" w:customStyle="1" w:styleId="SubtitleChar">
    <w:name w:val="Subtitle Char"/>
    <w:basedOn w:val="a0"/>
    <w:qFormat/>
    <w:rPr>
      <w:sz w:val="24"/>
      <w:szCs w:val="24"/>
    </w:rPr>
  </w:style>
  <w:style w:type="character" w:customStyle="1" w:styleId="QuoteChar">
    <w:name w:val="Quote Char"/>
    <w:qFormat/>
    <w:rPr>
      <w:i/>
    </w:rPr>
  </w:style>
  <w:style w:type="character" w:customStyle="1" w:styleId="IntenseQuoteChar">
    <w:name w:val="Intense Quote Char"/>
    <w:qFormat/>
    <w:rPr>
      <w:i/>
    </w:rPr>
  </w:style>
  <w:style w:type="character" w:customStyle="1" w:styleId="HeaderChar">
    <w:name w:val="Header Char"/>
    <w:basedOn w:val="a0"/>
    <w:qFormat/>
  </w:style>
  <w:style w:type="character" w:customStyle="1" w:styleId="FooterChar">
    <w:name w:val="Footer Char"/>
    <w:basedOn w:val="a0"/>
    <w:qFormat/>
  </w:style>
  <w:style w:type="character" w:customStyle="1" w:styleId="a4">
    <w:name w:val="Название объекта Знак"/>
    <w:link w:val="a5"/>
    <w:qFormat/>
  </w:style>
  <w:style w:type="character" w:styleId="a6">
    <w:name w:val="Hyperlink"/>
    <w:rPr>
      <w:color w:val="0000FF" w:themeColor="hyperlink"/>
      <w:u w:val="single"/>
    </w:rPr>
  </w:style>
  <w:style w:type="character" w:customStyle="1" w:styleId="FootnoteTextChar">
    <w:name w:val="Footnote Text Char"/>
    <w:qFormat/>
    <w:rPr>
      <w:sz w:val="18"/>
    </w:rPr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EndnoteTextChar">
    <w:name w:val="Endnote Text Char"/>
    <w:qFormat/>
    <w:rPr>
      <w:sz w:val="20"/>
    </w:rPr>
  </w:style>
  <w:style w:type="character" w:customStyle="1" w:styleId="a9">
    <w:name w:val="Символ концевой сноски"/>
    <w:qFormat/>
    <w:rPr>
      <w:vertAlign w:val="superscript"/>
    </w:rPr>
  </w:style>
  <w:style w:type="character" w:styleId="aa">
    <w:name w:val="endnote reference"/>
    <w:rPr>
      <w:vertAlign w:val="superscript"/>
    </w:rPr>
  </w:style>
  <w:style w:type="character" w:customStyle="1" w:styleId="ab">
    <w:name w:val="Верхний колонтитул Знак"/>
    <w:basedOn w:val="a0"/>
    <w:qFormat/>
  </w:style>
  <w:style w:type="character" w:customStyle="1" w:styleId="ac">
    <w:name w:val="Нижний колонтитул Знак"/>
    <w:basedOn w:val="a0"/>
    <w:qFormat/>
  </w:style>
  <w:style w:type="character" w:customStyle="1" w:styleId="ad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a0"/>
    <w:qFormat/>
    <w:rPr>
      <w:color w:val="0000FF"/>
      <w:u w:val="single"/>
    </w:rPr>
  </w:style>
  <w:style w:type="paragraph" w:styleId="ae">
    <w:name w:val="Title"/>
    <w:basedOn w:val="a"/>
    <w:next w:val="af"/>
    <w:qFormat/>
    <w:pPr>
      <w:spacing w:before="300"/>
      <w:contextualSpacing/>
    </w:pPr>
    <w:rPr>
      <w:sz w:val="48"/>
      <w:szCs w:val="48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cs="Noto Sans"/>
    </w:rPr>
  </w:style>
  <w:style w:type="paragraph" w:styleId="a5">
    <w:name w:val="caption"/>
    <w:basedOn w:val="a"/>
    <w:link w:val="a4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f1">
    <w:name w:val="index heading"/>
    <w:basedOn w:val="ae"/>
  </w:style>
  <w:style w:type="paragraph" w:customStyle="1" w:styleId="user">
    <w:name w:val="Заголовок (user)"/>
    <w:basedOn w:val="a"/>
    <w:next w:val="af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oto Sans"/>
    </w:rPr>
  </w:style>
  <w:style w:type="paragraph" w:styleId="af2">
    <w:name w:val="List Paragraph"/>
    <w:basedOn w:val="a"/>
    <w:qFormat/>
    <w:pPr>
      <w:spacing w:after="0"/>
      <w:ind w:left="720"/>
      <w:contextualSpacing/>
    </w:pPr>
  </w:style>
  <w:style w:type="paragraph" w:styleId="af3">
    <w:name w:val="No Spacing"/>
    <w:qFormat/>
  </w:style>
  <w:style w:type="paragraph" w:styleId="af4">
    <w:name w:val="Subtitle"/>
    <w:basedOn w:val="a"/>
    <w:qFormat/>
    <w:pPr>
      <w:spacing w:before="200"/>
    </w:pPr>
    <w:rPr>
      <w:sz w:val="24"/>
      <w:szCs w:val="24"/>
    </w:rPr>
  </w:style>
  <w:style w:type="paragraph" w:styleId="21">
    <w:name w:val="Quote"/>
    <w:basedOn w:val="a"/>
    <w:qFormat/>
    <w:pPr>
      <w:ind w:left="720" w:right="720"/>
    </w:pPr>
    <w:rPr>
      <w:i/>
    </w:rPr>
  </w:style>
  <w:style w:type="paragraph" w:styleId="af5">
    <w:name w:val="Intense Quote"/>
    <w:basedOn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styleId="af6">
    <w:name w:val="footnote text"/>
    <w:basedOn w:val="a"/>
    <w:pPr>
      <w:spacing w:after="40" w:line="240" w:lineRule="auto"/>
    </w:pPr>
    <w:rPr>
      <w:sz w:val="18"/>
    </w:rPr>
  </w:style>
  <w:style w:type="paragraph" w:styleId="af7">
    <w:name w:val="endnote text"/>
    <w:basedOn w:val="a"/>
    <w:pPr>
      <w:spacing w:after="0" w:line="240" w:lineRule="auto"/>
    </w:pPr>
    <w:rPr>
      <w:sz w:val="20"/>
    </w:rPr>
  </w:style>
  <w:style w:type="paragraph" w:styleId="11">
    <w:name w:val="toc 1"/>
    <w:basedOn w:val="a"/>
    <w:pPr>
      <w:spacing w:after="57"/>
    </w:pPr>
  </w:style>
  <w:style w:type="paragraph" w:styleId="22">
    <w:name w:val="toc 2"/>
    <w:basedOn w:val="a"/>
    <w:pPr>
      <w:spacing w:after="57"/>
      <w:ind w:left="283"/>
    </w:pPr>
  </w:style>
  <w:style w:type="paragraph" w:styleId="31">
    <w:name w:val="toc 3"/>
    <w:basedOn w:val="a"/>
    <w:pPr>
      <w:spacing w:after="57"/>
      <w:ind w:left="567"/>
    </w:pPr>
  </w:style>
  <w:style w:type="paragraph" w:styleId="41">
    <w:name w:val="toc 4"/>
    <w:basedOn w:val="a"/>
    <w:pPr>
      <w:spacing w:after="57"/>
      <w:ind w:left="850"/>
    </w:pPr>
  </w:style>
  <w:style w:type="paragraph" w:styleId="51">
    <w:name w:val="toc 5"/>
    <w:basedOn w:val="a"/>
    <w:pPr>
      <w:spacing w:after="57"/>
      <w:ind w:left="1134"/>
    </w:pPr>
  </w:style>
  <w:style w:type="paragraph" w:styleId="60">
    <w:name w:val="toc 6"/>
    <w:basedOn w:val="a"/>
    <w:pPr>
      <w:spacing w:after="57"/>
      <w:ind w:left="1417"/>
    </w:pPr>
  </w:style>
  <w:style w:type="paragraph" w:styleId="70">
    <w:name w:val="toc 7"/>
    <w:basedOn w:val="a"/>
    <w:pPr>
      <w:spacing w:after="57"/>
      <w:ind w:left="1701"/>
    </w:pPr>
  </w:style>
  <w:style w:type="paragraph" w:styleId="80">
    <w:name w:val="toc 8"/>
    <w:basedOn w:val="a"/>
    <w:pPr>
      <w:spacing w:after="57"/>
      <w:ind w:left="1984"/>
    </w:pPr>
  </w:style>
  <w:style w:type="paragraph" w:styleId="90">
    <w:name w:val="toc 9"/>
    <w:basedOn w:val="a"/>
    <w:pPr>
      <w:spacing w:after="57"/>
      <w:ind w:left="2268"/>
    </w:pPr>
  </w:style>
  <w:style w:type="paragraph" w:styleId="af8">
    <w:name w:val="TOC Heading"/>
    <w:qFormat/>
  </w:style>
  <w:style w:type="paragraph" w:styleId="af9">
    <w:name w:val="table of figures"/>
    <w:basedOn w:val="a"/>
    <w:pPr>
      <w:spacing w:after="0"/>
    </w:pPr>
  </w:style>
  <w:style w:type="paragraph" w:customStyle="1" w:styleId="afa">
    <w:name w:val="Колонтитул"/>
    <w:basedOn w:val="a"/>
    <w:qFormat/>
  </w:style>
  <w:style w:type="paragraph" w:customStyle="1" w:styleId="HeaderandFooter">
    <w:name w:val="Header and Footer"/>
    <w:basedOn w:val="a"/>
    <w:qFormat/>
  </w:style>
  <w:style w:type="paragraph" w:styleId="afb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c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Содержимое таблицы (user)"/>
    <w:basedOn w:val="a"/>
    <w:qFormat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pPr>
      <w:jc w:val="center"/>
    </w:pPr>
    <w:rPr>
      <w:b/>
      <w:bCs/>
    </w:rPr>
  </w:style>
  <w:style w:type="paragraph" w:customStyle="1" w:styleId="afe">
    <w:name w:val="Содержимое таблицы"/>
    <w:basedOn w:val="a"/>
    <w:qFormat/>
    <w:pPr>
      <w:widowControl w:val="0"/>
      <w:suppressLineNumbers/>
    </w:pPr>
  </w:style>
  <w:style w:type="paragraph" w:customStyle="1" w:styleId="aff">
    <w:name w:val="Заголовок таблицы"/>
    <w:basedOn w:val="afe"/>
    <w:qFormat/>
    <w:pPr>
      <w:jc w:val="center"/>
    </w:pPr>
    <w:rPr>
      <w:b/>
      <w:bCs/>
    </w:rPr>
  </w:style>
  <w:style w:type="numbering" w:customStyle="1" w:styleId="aff0">
    <w:name w:val="Без списка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2428</Words>
  <Characters>13844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209a</dc:creator>
  <dc:description/>
  <cp:lastModifiedBy>User</cp:lastModifiedBy>
  <cp:revision>302</cp:revision>
  <cp:lastPrinted>2026-07-29T00:25:00Z</cp:lastPrinted>
  <dcterms:created xsi:type="dcterms:W3CDTF">2018-11-30T08:07:00Z</dcterms:created>
  <dcterms:modified xsi:type="dcterms:W3CDTF">2026-07-29T00:26:00Z</dcterms:modified>
  <dc:language>ru-RU</dc:language>
</cp:coreProperties>
</file>